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D5" w:rsidRDefault="006E42D5" w:rsidP="006E42D5">
      <w:pPr>
        <w:spacing w:after="0" w:line="405" w:lineRule="atLeast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Примеры заполнения Единого отчета по НДФЛ и ЕСВ.</w:t>
      </w:r>
    </w:p>
    <w:p w:rsidR="006E42D5" w:rsidRPr="006E42D5" w:rsidRDefault="006E42D5" w:rsidP="006E42D5">
      <w:pPr>
        <w:spacing w:after="0" w:line="405" w:lineRule="atLeast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Конец первого квартала стремительно приближается. Это значит, что совсем скоро наступит время подачи квартальной отчетности. В ее ряды впервые попал единый отчет по ЕСВ и НДФЛ. Отчет очень объемный. Включает много разной информации, которая иногда даже дублируется в разных приложениях. Поэтому мы для вас готовим отдельный тематический номер по заполнению этого «</w:t>
      </w:r>
      <w:proofErr w:type="spellStart"/>
      <w:r w:rsidRPr="006E42D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монстроотчета</w:t>
      </w:r>
      <w:proofErr w:type="spellEnd"/>
      <w:r w:rsidRPr="006E42D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». Это будут «Налоги &amp; бухучет», № 28. Получите этот журнал вы в начале апреля. А чтобы снять напряжение ожидания, предлагаем вам размяться на примере.</w:t>
      </w:r>
    </w:p>
    <w:p w:rsidR="006E42D5" w:rsidRPr="006E42D5" w:rsidRDefault="006E42D5" w:rsidP="006E42D5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 новом отчете, который носит название Налоговый расчет сумм дохода, начисленного (уплаченного) в пользу плательщиков налогов — физических лиц, и сумм удержанного с них налога, а также сумм начисленного единого взноса (далее — Налоговый расчет) и объединит в себе форму № 1ДФ и Отчет по ЕСВ, мы рассказывали в </w:t>
      </w:r>
      <w:hyperlink r:id="rId5" w:tgtFrame="_blank" w:history="1">
        <w:r w:rsidRPr="006E42D5">
          <w:rPr>
            <w:rFonts w:ascii="Helvetica" w:eastAsia="Times New Roman" w:hAnsi="Helvetica" w:cs="Times New Roman"/>
            <w:color w:val="26539A"/>
            <w:sz w:val="24"/>
            <w:szCs w:val="24"/>
            <w:bdr w:val="none" w:sz="0" w:space="0" w:color="auto" w:frame="1"/>
            <w:lang w:eastAsia="ru-RU"/>
          </w:rPr>
          <w:t>«Налоги &amp; бухучет», 2021, № 5, с. 2</w:t>
        </w:r>
      </w:hyperlink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Программное обеспечение по этому отчету должно было появиться еще в феврале и дать возможность работодателям подать Налоговый расчет «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довідковий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как «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звітний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Напомним, что необходимость подать такой расчет может возникнуть, если в пределах отчетного квартала: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работнику назначается пенсия или больничные, пособие по беременности и родам;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— работник уволен и встает на учет в центр занятости как безработный с выплатой пособия по безработице.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Однако «не так 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сталося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гадалося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». Процесс разработки затянулся.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Какую картину имеем сейчас?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Появится программное обеспечение с 1 апреля, подадим «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звітний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расчет за 1 квартал 2021 года и закроем все вопросы по этому периоду.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 вот «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довідковий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расчет как «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звітний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впервые может возникнуть необходимость подать в мае за апрель 2021 года. Такой отчет будет содержать только приложения с информацией на работника, необходимой для назначения соответствующей выплаты.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То есть сегодня приоритеты изменились. На первое место выходит отчетный расчет. Поговорим о нем именно сейчас.</w:t>
      </w:r>
    </w:p>
    <w:p w:rsidR="006E42D5" w:rsidRPr="006E42D5" w:rsidRDefault="006E42D5" w:rsidP="006E42D5">
      <w:pPr>
        <w:spacing w:after="0" w:line="420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E42D5">
        <w:rPr>
          <w:rFonts w:ascii="Helvetica" w:eastAsia="Times New Roman" w:hAnsi="Helvetica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Определяемся с приложениями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Налоговый расчет имеет шесть приложений. Однако обычные работодатели будут иметь дело лишь с четырьмя из них: Д1, 4ДФ, Д5, Д6.</w:t>
      </w:r>
    </w:p>
    <w:p w:rsidR="006E42D5" w:rsidRPr="006E42D5" w:rsidRDefault="006E42D5" w:rsidP="006E42D5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Каждое из приложений формируем </w:t>
      </w:r>
      <w:r w:rsidRPr="006E42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наличии событий для отражения в нем</w:t>
      </w: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Заметим, что практически у каждого работодателя отчет будет содержать сам расчет и 2 приложения к нему. Первое — это Д1 с суммами ЕСВ. Общие суммовые показатели этого приложения вы перенесете в раздел I Налогового расчета. Второе — это 4ДФ с обязательствами по НДФЛ и военному сбору.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 вот приложение Д5 будем формировать, если в отчетном квартале принимали, переводили, перемещали, увольняли работника, предоставляли отпуска в связи с беременностью и родами и для ухода до 3 (6) лет, а также если с физлицом был заключен/расторгнут договор подряда (договор на предоставление услуг).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Ну и приложение Д6. Его будут формировать только те работодатели, работники которых имеют право на </w:t>
      </w:r>
      <w:proofErr w:type="spellStart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спецстаж</w:t>
      </w:r>
      <w:proofErr w:type="spellEnd"/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6E42D5" w:rsidRPr="006E42D5" w:rsidRDefault="006E42D5" w:rsidP="006E42D5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Пример.</w:t>
      </w: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Зарплата работника (основное место работы, полная занятость) в каждом месяце отчетного I квартала — 10000 </w:t>
      </w:r>
      <w:proofErr w:type="spellStart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(НДФЛ — 1800 </w:t>
      </w:r>
      <w:proofErr w:type="spellStart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ВС — 150 </w:t>
      </w:r>
      <w:proofErr w:type="spellStart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ЕСВ — 2200 </w:t>
      </w:r>
      <w:proofErr w:type="spellStart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6E42D5">
        <w:rPr>
          <w:rFonts w:ascii="Helvetica" w:eastAsia="Times New Roman" w:hAnsi="Helvetic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). С 15.02.2021 г. согласно приказу от 12.02.2021 г. № 48-ос его перевели на должность повара (код КП 5122).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Начнем с 4ДФ. Его формируем отдельно за каждый из месяцев отчетного квартала (см. рис. 1 на с. 3). Обратите внимание: порядок отражения зар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платы оставили неизменным. Свое</w:t>
      </w: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временно выплаченную зарплату указываем в 4ДФ за месяц ее начисления.</w:t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65520" cy="4882515"/>
            <wp:effectExtent l="0" t="0" r="0" b="0"/>
            <wp:docPr id="3" name="Рисунок 3" descr="https://i.factor.ua/cache/image/real/d9/d9b0b3ead469ba8d9b16156f0680f3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factor.ua/cache/image/real/d9/d9b0b3ead469ba8d9b16156f0680f37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Рис. 1. Фрагменты заполнения 4ДФ за месяцы I квартала 2021 года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 вот Д5 (см. рис. 2 на с. 3) формируем в целом за квартал.</w:t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65520" cy="2181225"/>
            <wp:effectExtent l="0" t="0" r="0" b="9525"/>
            <wp:docPr id="2" name="Рисунок 2" descr="https://i.factor.ua/cache/image/real/3f/3f8bcc94c3478ef315c347b4aa261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factor.ua/cache/image/real/3f/3f8bcc94c3478ef315c347b4aa2611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Рис. 2. Фрагмент заполнения Д5 за I квартал 2021 года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Перевод отражаем одной строкой. Не как раньше — двумя, а одной. То есть здесь имеем изменения.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От Д5 идем к Д1. Его формируем в разрезе месяцев отчетного квартала (см. рис. 3).</w:t>
      </w:r>
    </w:p>
    <w:p w:rsidR="006E42D5" w:rsidRPr="006E42D5" w:rsidRDefault="006E42D5" w:rsidP="006E42D5">
      <w:pPr>
        <w:spacing w:before="150"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Итоговые данные Д1 по каждому месяцу переносим в раздел 1 Налогового расчета.</w:t>
      </w:r>
    </w:p>
    <w:p w:rsidR="006E42D5" w:rsidRPr="006E42D5" w:rsidRDefault="006E42D5" w:rsidP="006E42D5">
      <w:pPr>
        <w:spacing w:after="0" w:line="390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Еще больше о заполнении единой отчетности и еще больше примеров ожидайте в тематическом номере </w:t>
      </w:r>
      <w:hyperlink r:id="rId8" w:tgtFrame="_blank" w:history="1">
        <w:r w:rsidRPr="006E42D5">
          <w:rPr>
            <w:rFonts w:ascii="Helvetica" w:eastAsia="Times New Roman" w:hAnsi="Helvetica" w:cs="Times New Roman"/>
            <w:color w:val="26539A"/>
            <w:sz w:val="24"/>
            <w:szCs w:val="24"/>
            <w:bdr w:val="none" w:sz="0" w:space="0" w:color="auto" w:frame="1"/>
            <w:lang w:eastAsia="ru-RU"/>
          </w:rPr>
          <w:t>«Налоги &amp; бухучет» № 28</w:t>
        </w:r>
      </w:hyperlink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65520" cy="6392545"/>
            <wp:effectExtent l="0" t="0" r="0" b="8255"/>
            <wp:docPr id="1" name="Рисунок 1" descr="https://i.factor.ua/cache/image/real/20/2088a68a1ec90e2b976d08cdbeda16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factor.ua/cache/image/real/20/2088a68a1ec90e2b976d08cdbeda16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39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D5" w:rsidRPr="006E42D5" w:rsidRDefault="006E42D5" w:rsidP="006E42D5">
      <w:pPr>
        <w:spacing w:before="150" w:after="0" w:line="390" w:lineRule="atLeast"/>
        <w:jc w:val="center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E42D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Рис. 3. Фрагмент заполнения Д1 за месяцы I квартала 2021 года</w:t>
      </w:r>
    </w:p>
    <w:p w:rsidR="006E42D5" w:rsidRPr="006E42D5" w:rsidRDefault="006E42D5" w:rsidP="006E42D5">
      <w:pPr>
        <w:spacing w:after="0" w:line="390" w:lineRule="atLeast"/>
        <w:textAlignment w:val="baseline"/>
        <w:rPr>
          <w:rFonts w:ascii="Helvetica" w:eastAsia="Times New Roman" w:hAnsi="Helvetica" w:cs="Times New Roman"/>
          <w:caps/>
          <w:color w:val="ADB7C1"/>
          <w:sz w:val="21"/>
          <w:szCs w:val="21"/>
          <w:lang w:eastAsia="ru-RU"/>
        </w:rPr>
      </w:pPr>
      <w:r w:rsidRPr="006E42D5">
        <w:rPr>
          <w:rFonts w:ascii="Helvetica" w:eastAsia="Times New Roman" w:hAnsi="Helvetica" w:cs="Times New Roman"/>
          <w:caps/>
          <w:color w:val="ADB7C1"/>
          <w:sz w:val="21"/>
          <w:szCs w:val="21"/>
          <w:lang w:eastAsia="ru-RU"/>
        </w:rPr>
        <w:t>ПРИКРЕПЛЁННЫЕ ФАЙЛЫ</w:t>
      </w:r>
    </w:p>
    <w:p w:rsidR="006E42D5" w:rsidRPr="006E42D5" w:rsidRDefault="00F370C0" w:rsidP="006E42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6E42D5" w:rsidRPr="006E42D5">
          <w:rPr>
            <w:rFonts w:ascii="Helvetica" w:eastAsia="Times New Roman" w:hAnsi="Helvetica" w:cs="Times New Roman"/>
            <w:color w:val="ADB7C1"/>
            <w:sz w:val="24"/>
            <w:szCs w:val="24"/>
            <w:bdr w:val="none" w:sz="0" w:space="0" w:color="auto" w:frame="1"/>
            <w:lang w:eastAsia="ru-RU"/>
          </w:rPr>
          <w:t> </w:t>
        </w:r>
        <w:r w:rsidR="006E42D5" w:rsidRPr="006E42D5">
          <w:rPr>
            <w:rFonts w:ascii="Helvetica" w:eastAsia="Times New Roman" w:hAnsi="Helvetica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Фрагменты заполнения 4ДФ за месяцы I квартала 2021 года.pdf </w:t>
        </w:r>
        <w:r w:rsidR="006E42D5" w:rsidRPr="006E42D5">
          <w:rPr>
            <w:rFonts w:ascii="Helvetica" w:eastAsia="Times New Roman" w:hAnsi="Helvetica" w:cs="Times New Roman"/>
            <w:color w:val="ADB7C1"/>
            <w:sz w:val="24"/>
            <w:szCs w:val="24"/>
            <w:bdr w:val="none" w:sz="0" w:space="0" w:color="auto" w:frame="1"/>
            <w:lang w:eastAsia="ru-RU"/>
          </w:rPr>
          <w:t>601 КБ</w:t>
        </w:r>
      </w:hyperlink>
    </w:p>
    <w:p w:rsidR="006E42D5" w:rsidRPr="006E42D5" w:rsidRDefault="00F370C0" w:rsidP="006E42D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6E42D5" w:rsidRPr="006E42D5">
          <w:rPr>
            <w:rFonts w:ascii="Helvetica" w:eastAsia="Times New Roman" w:hAnsi="Helvetica" w:cs="Times New Roman"/>
            <w:color w:val="ADB7C1"/>
            <w:sz w:val="24"/>
            <w:szCs w:val="24"/>
            <w:bdr w:val="none" w:sz="0" w:space="0" w:color="auto" w:frame="1"/>
            <w:lang w:eastAsia="ru-RU"/>
          </w:rPr>
          <w:t> </w:t>
        </w:r>
        <w:r w:rsidR="006E42D5" w:rsidRPr="006E42D5">
          <w:rPr>
            <w:rFonts w:ascii="Helvetica" w:eastAsia="Times New Roman" w:hAnsi="Helvetica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Фрагмент заполнения Д5 за I квартал 2021 года.pdf </w:t>
        </w:r>
        <w:r w:rsidR="006E42D5" w:rsidRPr="006E42D5">
          <w:rPr>
            <w:rFonts w:ascii="Helvetica" w:eastAsia="Times New Roman" w:hAnsi="Helvetica" w:cs="Times New Roman"/>
            <w:color w:val="ADB7C1"/>
            <w:sz w:val="24"/>
            <w:szCs w:val="24"/>
            <w:bdr w:val="none" w:sz="0" w:space="0" w:color="auto" w:frame="1"/>
            <w:lang w:eastAsia="ru-RU"/>
          </w:rPr>
          <w:t>613 КБ</w:t>
        </w:r>
      </w:hyperlink>
    </w:p>
    <w:p w:rsidR="00AC19D6" w:rsidRDefault="00F370C0" w:rsidP="00F33770">
      <w:pPr>
        <w:numPr>
          <w:ilvl w:val="0"/>
          <w:numId w:val="1"/>
        </w:numPr>
        <w:spacing w:after="0" w:line="240" w:lineRule="auto"/>
        <w:ind w:left="0"/>
        <w:textAlignment w:val="baseline"/>
      </w:pPr>
      <w:hyperlink r:id="rId12" w:tgtFrame="_blank" w:history="1">
        <w:r w:rsidR="006E42D5" w:rsidRPr="007B717A">
          <w:rPr>
            <w:rFonts w:ascii="Helvetica" w:eastAsia="Times New Roman" w:hAnsi="Helvetica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Фрагмент заполнения Д1 за месяцы I квартала 2021 года. </w:t>
        </w:r>
        <w:r w:rsidR="006E42D5" w:rsidRPr="007B717A">
          <w:rPr>
            <w:rFonts w:ascii="Helvetica" w:eastAsia="Times New Roman" w:hAnsi="Helvetica" w:cs="Times New Roman"/>
            <w:color w:val="ADB7C1"/>
            <w:sz w:val="24"/>
            <w:szCs w:val="24"/>
            <w:bdr w:val="none" w:sz="0" w:space="0" w:color="auto" w:frame="1"/>
            <w:lang w:eastAsia="ru-RU"/>
          </w:rPr>
          <w:t>0 КБ</w:t>
        </w:r>
      </w:hyperlink>
    </w:p>
    <w:sectPr w:rsidR="00AC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D05"/>
    <w:multiLevelType w:val="multilevel"/>
    <w:tmpl w:val="21F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D5"/>
    <w:rsid w:val="006E42D5"/>
    <w:rsid w:val="007B717A"/>
    <w:rsid w:val="009E4B80"/>
    <w:rsid w:val="00AC19D6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33217-CBAD-481A-8EA1-44E4677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dent">
    <w:name w:val="indent"/>
    <w:basedOn w:val="a"/>
    <w:rsid w:val="006E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2D5"/>
    <w:rPr>
      <w:color w:val="0000FF"/>
      <w:u w:val="single"/>
    </w:rPr>
  </w:style>
  <w:style w:type="character" w:styleId="a4">
    <w:name w:val="Strong"/>
    <w:basedOn w:val="a0"/>
    <w:uiPriority w:val="22"/>
    <w:qFormat/>
    <w:rsid w:val="006E42D5"/>
    <w:rPr>
      <w:b/>
      <w:bCs/>
    </w:rPr>
  </w:style>
  <w:style w:type="paragraph" w:customStyle="1" w:styleId="aligncenter">
    <w:name w:val="align_center"/>
    <w:basedOn w:val="a"/>
    <w:rsid w:val="006E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files-ic">
    <w:name w:val="b-art__files-ic"/>
    <w:basedOn w:val="a0"/>
    <w:rsid w:val="006E42D5"/>
  </w:style>
  <w:style w:type="character" w:customStyle="1" w:styleId="b-artfiles-list-itemlink-text">
    <w:name w:val="b-art__files-list-item__link-text"/>
    <w:basedOn w:val="a0"/>
    <w:rsid w:val="006E42D5"/>
  </w:style>
  <w:style w:type="character" w:customStyle="1" w:styleId="b-artfiles-list-itemlink-unit">
    <w:name w:val="b-art__files-list-item__link-unit"/>
    <w:basedOn w:val="a0"/>
    <w:rsid w:val="006E42D5"/>
  </w:style>
  <w:style w:type="character" w:customStyle="1" w:styleId="b-artsectin-name">
    <w:name w:val="b-art__sectin-name"/>
    <w:basedOn w:val="a0"/>
    <w:rsid w:val="006E42D5"/>
  </w:style>
  <w:style w:type="character" w:customStyle="1" w:styleId="b-arttag">
    <w:name w:val="b-art__tag"/>
    <w:basedOn w:val="a0"/>
    <w:rsid w:val="006E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93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factor.ua/journals/nibu/2021/april/issue-2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i.factor.ua/files/journalArticle/114112/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.factor.ua/files/journalArticle/114112/file/834845ca789bf932ed5989cf781736abc871214a.pdf" TargetMode="External"/><Relationship Id="rId5" Type="http://schemas.openxmlformats.org/officeDocument/2006/relationships/hyperlink" Target="https://i.factor.ua/journals/nibu/2021/january/issue-5/article-112891.html" TargetMode="External"/><Relationship Id="rId10" Type="http://schemas.openxmlformats.org/officeDocument/2006/relationships/hyperlink" Target="https://i.factor.ua/files/journalArticle/114112/file/0b27deb0bb64b8eb7de011c801d9e9feade3ecd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Chernykh_R</dc:creator>
  <cp:keywords/>
  <dc:description/>
  <cp:lastModifiedBy>Chernykh_R</cp:lastModifiedBy>
  <cp:revision>2</cp:revision>
  <dcterms:created xsi:type="dcterms:W3CDTF">2021-04-18T18:07:00Z</dcterms:created>
  <dcterms:modified xsi:type="dcterms:W3CDTF">2021-04-18T18:07:00Z</dcterms:modified>
</cp:coreProperties>
</file>